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F0" w:rsidRPr="00B97703" w:rsidRDefault="00AB50F0">
      <w:pPr>
        <w:rPr>
          <w:rFonts w:cstheme="minorHAnsi"/>
        </w:rPr>
      </w:pPr>
      <w:bookmarkStart w:id="0" w:name="_GoBack"/>
      <w:bookmarkEnd w:id="0"/>
    </w:p>
    <w:p w:rsidR="007B70A8" w:rsidRPr="00B97703" w:rsidRDefault="007B70A8" w:rsidP="007B70A8">
      <w:pPr>
        <w:spacing w:beforeAutospacing="1" w:after="0" w:afterAutospacing="1" w:line="240" w:lineRule="auto"/>
        <w:jc w:val="center"/>
        <w:rPr>
          <w:rFonts w:eastAsia="Times New Roman" w:cstheme="minorHAnsi"/>
          <w:color w:val="212529"/>
          <w:sz w:val="24"/>
          <w:szCs w:val="24"/>
          <w:lang w:eastAsia="tr-TR"/>
        </w:rPr>
      </w:pPr>
      <w:r w:rsidRPr="00B97703">
        <w:rPr>
          <w:rFonts w:eastAsia="Times New Roman" w:cstheme="minorHAnsi"/>
          <w:b/>
          <w:bCs/>
          <w:color w:val="212529"/>
          <w:sz w:val="24"/>
          <w:szCs w:val="24"/>
          <w:lang w:eastAsia="tr-TR"/>
        </w:rPr>
        <w:t>HEMŞİRE YARDIMCILIĞI</w:t>
      </w:r>
    </w:p>
    <w:p w:rsidR="007B70A8" w:rsidRPr="00B97703" w:rsidRDefault="007B70A8" w:rsidP="007B70A8">
      <w:pPr>
        <w:spacing w:before="100" w:beforeAutospacing="1" w:after="100" w:afterAutospacing="1" w:line="240" w:lineRule="auto"/>
        <w:ind w:firstLine="708"/>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w:t>
      </w:r>
    </w:p>
    <w:p w:rsidR="007B70A8" w:rsidRPr="00B97703" w:rsidRDefault="007B70A8" w:rsidP="007B70A8">
      <w:pPr>
        <w:spacing w:before="100" w:beforeAutospacing="1" w:after="100" w:afterAutospacing="1"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Hemşire yardımcısı;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7B70A8" w:rsidRPr="00B97703" w:rsidRDefault="007B70A8" w:rsidP="007B70A8">
      <w:pPr>
        <w:spacing w:beforeAutospacing="1" w:after="0" w:afterAutospacing="1" w:line="360" w:lineRule="atLeast"/>
        <w:jc w:val="both"/>
        <w:rPr>
          <w:rFonts w:eastAsia="Times New Roman" w:cstheme="minorHAnsi"/>
          <w:color w:val="212529"/>
          <w:sz w:val="24"/>
          <w:szCs w:val="24"/>
          <w:lang w:eastAsia="tr-TR"/>
        </w:rPr>
      </w:pPr>
      <w:r w:rsidRPr="00B97703">
        <w:rPr>
          <w:rFonts w:eastAsia="Times New Roman" w:cstheme="minorHAnsi"/>
          <w:b/>
          <w:bCs/>
          <w:color w:val="212529"/>
          <w:sz w:val="24"/>
          <w:szCs w:val="24"/>
          <w:lang w:eastAsia="tr-TR"/>
        </w:rPr>
        <w:t>Hemşire Yardımcısının Görevleri</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 odasının düzenini ve temizliğinin yapılmasını sağlar.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Hastanın tedavi planında yer alan ve hemşirenin uygun gördüğü oral ilaçları hastaya verir.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Hastanın kişisel bakım ve temizliği ile ilgili gereksinimlerinin karşılanmasına yardım eder.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Hastaların muayene, tetkik ve tedavi için hazırlanmasına, tıbbi işlem öncesinde elbiselerinin değiştirilmesine ve işlem sonrasında giyinmesine yardım eder. </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Hastanın günlük yaşam aktivitelerinin yerine getirilmesine yardım eder.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xml:space="preserve"> Hastadan </w:t>
      </w:r>
      <w:proofErr w:type="gramStart"/>
      <w:r w:rsidRPr="00B97703">
        <w:rPr>
          <w:rFonts w:eastAsia="Times New Roman" w:cstheme="minorHAnsi"/>
          <w:color w:val="212529"/>
          <w:sz w:val="24"/>
          <w:szCs w:val="24"/>
          <w:lang w:eastAsia="tr-TR"/>
        </w:rPr>
        <w:t>steril</w:t>
      </w:r>
      <w:proofErr w:type="gramEnd"/>
      <w:r w:rsidRPr="00B97703">
        <w:rPr>
          <w:rFonts w:eastAsia="Times New Roman" w:cstheme="minorHAnsi"/>
          <w:color w:val="212529"/>
          <w:sz w:val="24"/>
          <w:szCs w:val="24"/>
          <w:lang w:eastAsia="tr-TR"/>
        </w:rPr>
        <w:t xml:space="preserve"> olmayan idrar örneği ve dışkı örneği alır.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Hastanın beslenme programına uygun olarak beslenmesine yardımcı olur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Kilo takibi gereken hastalarda günlük kilo takibini yapar.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Hemşirenin uygun gördüğü durumlarda hastanın yürümesine ve hareket etmesine yardım eder.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Hastanın başka bir kliniğe ya da birime transferine yardım ve refakat eder.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 için planlanan egzersiz programının hastaya uygulanmasına yardım eder.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İlgilendiği hastaların genel durumunda fark ettiği değişiklikleri hemşireye bildirir.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Ölüm sonrası yapılması gereken bakımları uygular.</w:t>
      </w:r>
    </w:p>
    <w:p w:rsidR="007B70A8" w:rsidRPr="00B97703" w:rsidRDefault="007B70A8" w:rsidP="007B70A8">
      <w:pPr>
        <w:numPr>
          <w:ilvl w:val="0"/>
          <w:numId w:val="1"/>
        </w:numPr>
        <w:spacing w:after="0"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Hasta bakımında kullanılan malzemelerin hazırlanmasını, temizliğini, dezenfeksiyonunu ve uygun şekilde saklanmasına yardım eder.</w:t>
      </w:r>
    </w:p>
    <w:p w:rsidR="007B70A8" w:rsidRPr="00B97703" w:rsidRDefault="007B70A8" w:rsidP="007B70A8">
      <w:pPr>
        <w:spacing w:before="100" w:beforeAutospacing="1" w:after="100" w:afterAutospacing="1" w:line="360" w:lineRule="atLeast"/>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w:t>
      </w:r>
    </w:p>
    <w:p w:rsidR="007B70A8" w:rsidRPr="00B97703" w:rsidRDefault="007B70A8" w:rsidP="007B70A8">
      <w:pPr>
        <w:spacing w:beforeAutospacing="1" w:after="0" w:afterAutospacing="1" w:line="360" w:lineRule="atLeast"/>
        <w:jc w:val="center"/>
        <w:rPr>
          <w:rFonts w:eastAsia="Times New Roman" w:cstheme="minorHAnsi"/>
          <w:color w:val="212529"/>
          <w:sz w:val="24"/>
          <w:szCs w:val="24"/>
          <w:lang w:eastAsia="tr-TR"/>
        </w:rPr>
      </w:pPr>
      <w:r w:rsidRPr="00B97703">
        <w:rPr>
          <w:rFonts w:eastAsia="Times New Roman" w:cstheme="minorHAnsi"/>
          <w:b/>
          <w:bCs/>
          <w:color w:val="212529"/>
          <w:sz w:val="24"/>
          <w:szCs w:val="24"/>
          <w:lang w:eastAsia="tr-TR"/>
        </w:rPr>
        <w:t>Çalışma Alanları Ve İş Bulma Olanakları</w:t>
      </w:r>
    </w:p>
    <w:p w:rsidR="007B70A8" w:rsidRPr="00B97703" w:rsidRDefault="007B70A8" w:rsidP="007B70A8">
      <w:pPr>
        <w:spacing w:before="100" w:beforeAutospacing="1" w:after="100" w:afterAutospacing="1" w:line="360" w:lineRule="atLeast"/>
        <w:ind w:firstLine="709"/>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xml:space="preserve">Sağlık Bakanlığı, Türkiye Kamu Hastaneleri Kurumu, Türk Hemşireler Derneği, öğretim üyeleri ve alan uzmanlarından oluşmuş komisyon daha önce oluşturulmuş taslak görev tanımları metninden yararlanarak Türkiye'de 2023 yılı için hemşire yardımcısı ihtiyacını belirlemeye yönelik çalışmalar yapmıştır. Yaklaşık olarak hemşire yardımcısı ihtiyacı 23.900 </w:t>
      </w:r>
      <w:r w:rsidRPr="00B97703">
        <w:rPr>
          <w:rFonts w:eastAsia="Times New Roman" w:cstheme="minorHAnsi"/>
          <w:color w:val="212529"/>
          <w:sz w:val="24"/>
          <w:szCs w:val="24"/>
          <w:lang w:eastAsia="tr-TR"/>
        </w:rPr>
        <w:lastRenderedPageBreak/>
        <w:t>olarak belirlenmiştir. Bu durumda 1.000 kişiye düşen hemşire yardımcısı sayısı 0,30 olmaktadır.</w:t>
      </w:r>
    </w:p>
    <w:p w:rsidR="007B70A8" w:rsidRPr="00B97703" w:rsidRDefault="007B70A8" w:rsidP="007B70A8">
      <w:pPr>
        <w:spacing w:before="100" w:beforeAutospacing="1" w:after="100" w:afterAutospacing="1" w:line="360" w:lineRule="atLeast"/>
        <w:ind w:firstLine="708"/>
        <w:jc w:val="both"/>
        <w:rPr>
          <w:rFonts w:eastAsia="Times New Roman" w:cstheme="minorHAnsi"/>
          <w:color w:val="212529"/>
          <w:sz w:val="24"/>
          <w:szCs w:val="24"/>
          <w:lang w:eastAsia="tr-TR"/>
        </w:rPr>
      </w:pPr>
      <w:r w:rsidRPr="00B97703">
        <w:rPr>
          <w:rFonts w:eastAsia="Times New Roman" w:cstheme="minorHAnsi"/>
          <w:color w:val="212529"/>
          <w:sz w:val="24"/>
          <w:szCs w:val="24"/>
          <w:lang w:eastAsia="tr-TR"/>
        </w:rPr>
        <w:t xml:space="preserve">Hemşire yardımcılığı alanındaki 2023 yılı hedefi olan 23.900 personel sayısına ulaşılması için ilgili bölümlerin almaları gereken öğrenci sayıları SHGM tarafından </w:t>
      </w:r>
      <w:proofErr w:type="spellStart"/>
      <w:r w:rsidRPr="00B97703">
        <w:rPr>
          <w:rFonts w:eastAsia="Times New Roman" w:cstheme="minorHAnsi"/>
          <w:color w:val="212529"/>
          <w:sz w:val="24"/>
          <w:szCs w:val="24"/>
          <w:lang w:eastAsia="tr-TR"/>
        </w:rPr>
        <w:t>projekte</w:t>
      </w:r>
      <w:proofErr w:type="spellEnd"/>
      <w:r w:rsidRPr="00B97703">
        <w:rPr>
          <w:rFonts w:eastAsia="Times New Roman" w:cstheme="minorHAnsi"/>
          <w:color w:val="212529"/>
          <w:sz w:val="24"/>
          <w:szCs w:val="24"/>
          <w:lang w:eastAsia="tr-TR"/>
        </w:rPr>
        <w:t xml:space="preserve"> edilmiştir.</w:t>
      </w:r>
    </w:p>
    <w:p w:rsidR="007B70A8" w:rsidRPr="00B97703" w:rsidRDefault="007B70A8" w:rsidP="007B70A8">
      <w:pPr>
        <w:spacing w:before="100" w:beforeAutospacing="1" w:after="100" w:afterAutospacing="1" w:line="240" w:lineRule="auto"/>
        <w:rPr>
          <w:rFonts w:eastAsia="Times New Roman" w:cstheme="minorHAnsi"/>
          <w:color w:val="212529"/>
          <w:sz w:val="24"/>
          <w:szCs w:val="24"/>
          <w:lang w:eastAsia="tr-TR"/>
        </w:rPr>
      </w:pPr>
      <w:r w:rsidRPr="00B97703">
        <w:rPr>
          <w:rFonts w:eastAsia="Times New Roman" w:cstheme="minorHAnsi"/>
          <w:color w:val="212529"/>
          <w:sz w:val="24"/>
          <w:szCs w:val="24"/>
          <w:lang w:eastAsia="tr-TR"/>
        </w:rPr>
        <w:t> </w:t>
      </w:r>
    </w:p>
    <w:p w:rsidR="007B70A8" w:rsidRPr="00B97703" w:rsidRDefault="007B70A8">
      <w:pPr>
        <w:rPr>
          <w:rFonts w:cstheme="minorHAnsi"/>
        </w:rPr>
      </w:pPr>
    </w:p>
    <w:sectPr w:rsidR="007B70A8" w:rsidRPr="00B9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D43C6"/>
    <w:multiLevelType w:val="multilevel"/>
    <w:tmpl w:val="AD5E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A8"/>
    <w:rsid w:val="007B70A8"/>
    <w:rsid w:val="00AB50F0"/>
    <w:rsid w:val="00B97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18563-8900-49BA-8B38-A5C8D6A4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2023-08-22T12:19:00Z</dcterms:created>
  <dcterms:modified xsi:type="dcterms:W3CDTF">2023-08-22T12:26:00Z</dcterms:modified>
</cp:coreProperties>
</file>